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5A6AB2">
      <w:pPr>
        <w:jc w:val="center"/>
        <w:rPr>
          <w:rFonts w:hint="eastAsia"/>
          <w:sz w:val="44"/>
          <w:szCs w:val="44"/>
        </w:rPr>
      </w:pPr>
      <w:bookmarkStart w:id="0" w:name="OLE_LINK1"/>
      <w:r>
        <w:rPr>
          <w:rFonts w:hint="eastAsia"/>
          <w:sz w:val="44"/>
          <w:szCs w:val="44"/>
          <w:lang w:val="en-US" w:eastAsia="zh-CN"/>
        </w:rPr>
        <w:t>消防</w:t>
      </w:r>
      <w:r>
        <w:rPr>
          <w:rFonts w:hint="eastAsia"/>
          <w:sz w:val="44"/>
          <w:szCs w:val="44"/>
        </w:rPr>
        <w:t>维保服务内容及要求</w:t>
      </w:r>
    </w:p>
    <w:p w14:paraId="20EBBB78">
      <w:pPr>
        <w:spacing w:after="0" w:line="240" w:lineRule="exact"/>
        <w:rPr>
          <w:rFonts w:hint="eastAsia"/>
        </w:rPr>
      </w:pPr>
    </w:p>
    <w:p w14:paraId="1E5CA79F">
      <w:pPr>
        <w:spacing w:after="0" w:line="560"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i w:val="0"/>
          <w:iCs w:val="0"/>
          <w:caps w:val="0"/>
          <w:color w:val="333333"/>
          <w:spacing w:val="0"/>
          <w:sz w:val="28"/>
          <w:szCs w:val="28"/>
          <w:shd w:val="clear" w:color="auto" w:fill="FFFFFF"/>
        </w:rPr>
        <w:t>伊滨校区</w:t>
      </w:r>
      <w:r>
        <w:rPr>
          <w:rFonts w:hint="eastAsia" w:ascii="仿宋" w:hAnsi="仿宋" w:eastAsia="仿宋" w:cs="仿宋"/>
          <w:i w:val="0"/>
          <w:iCs w:val="0"/>
          <w:caps w:val="0"/>
          <w:color w:val="333333"/>
          <w:spacing w:val="0"/>
          <w:sz w:val="28"/>
          <w:szCs w:val="28"/>
          <w:shd w:val="clear" w:color="auto" w:fill="FFFFFF"/>
          <w:lang w:val="en-US" w:eastAsia="zh-CN"/>
        </w:rPr>
        <w:t>一期</w:t>
      </w:r>
      <w:r>
        <w:rPr>
          <w:rFonts w:hint="eastAsia" w:ascii="仿宋" w:hAnsi="仿宋" w:eastAsia="仿宋" w:cs="仿宋"/>
          <w:i w:val="0"/>
          <w:iCs w:val="0"/>
          <w:caps w:val="0"/>
          <w:color w:val="333333"/>
          <w:spacing w:val="0"/>
          <w:sz w:val="28"/>
          <w:szCs w:val="28"/>
          <w:shd w:val="clear" w:color="auto" w:fill="FFFFFF"/>
        </w:rPr>
        <w:t>占地717亩，</w:t>
      </w:r>
      <w:r>
        <w:rPr>
          <w:rFonts w:hint="eastAsia" w:ascii="仿宋" w:hAnsi="仿宋" w:eastAsia="仿宋" w:cs="仿宋"/>
          <w:i w:val="0"/>
          <w:iCs w:val="0"/>
          <w:caps w:val="0"/>
          <w:color w:val="333333"/>
          <w:spacing w:val="0"/>
          <w:sz w:val="28"/>
          <w:szCs w:val="28"/>
          <w:shd w:val="clear" w:color="auto" w:fill="FFFFFF"/>
          <w:lang w:val="en-US" w:eastAsia="zh-CN"/>
        </w:rPr>
        <w:t>其中</w:t>
      </w:r>
      <w:r>
        <w:rPr>
          <w:rFonts w:hint="eastAsia" w:ascii="仿宋" w:hAnsi="仿宋" w:eastAsia="仿宋" w:cs="仿宋"/>
          <w:i w:val="0"/>
          <w:iCs w:val="0"/>
          <w:caps w:val="0"/>
          <w:color w:val="333333"/>
          <w:spacing w:val="0"/>
          <w:sz w:val="28"/>
          <w:szCs w:val="28"/>
          <w:shd w:val="clear" w:color="auto" w:fill="FFFFFF"/>
        </w:rPr>
        <w:t>一期共有20栋单体建筑，其建成面积（含地下车库）为351309.42平方米（详情见</w:t>
      </w:r>
      <w:r>
        <w:rPr>
          <w:rFonts w:hint="eastAsia" w:ascii="仿宋" w:hAnsi="仿宋" w:eastAsia="仿宋" w:cs="仿宋"/>
          <w:i w:val="0"/>
          <w:iCs w:val="0"/>
          <w:caps w:val="0"/>
          <w:color w:val="333333"/>
          <w:spacing w:val="0"/>
          <w:sz w:val="28"/>
          <w:szCs w:val="28"/>
          <w:shd w:val="clear" w:color="auto" w:fill="FFFFFF"/>
          <w:lang w:val="en-US" w:eastAsia="zh-CN"/>
        </w:rPr>
        <w:t>基本情况</w:t>
      </w:r>
      <w:r>
        <w:rPr>
          <w:rFonts w:hint="eastAsia" w:ascii="仿宋" w:hAnsi="仿宋" w:eastAsia="仿宋" w:cs="仿宋"/>
          <w:i w:val="0"/>
          <w:iCs w:val="0"/>
          <w:caps w:val="0"/>
          <w:color w:val="333333"/>
          <w:spacing w:val="0"/>
          <w:sz w:val="28"/>
          <w:szCs w:val="28"/>
          <w:shd w:val="clear" w:color="auto" w:fill="FFFFFF"/>
        </w:rPr>
        <w:t>），各个建筑物内均有火灾自动报警及消防联动系统的设施设备。</w:t>
      </w:r>
    </w:p>
    <w:p w14:paraId="777DE692">
      <w:pPr>
        <w:numPr>
          <w:ilvl w:val="0"/>
          <w:numId w:val="0"/>
        </w:numPr>
        <w:spacing w:after="0" w:line="560" w:lineRule="exact"/>
        <w:ind w:firstLine="640" w:firstLineChars="200"/>
        <w:rPr>
          <w:rFonts w:hint="eastAsia" w:ascii="黑体" w:hAnsi="黑体" w:eastAsia="黑体" w:cs="黑体"/>
          <w:b/>
          <w:bCs/>
          <w:sz w:val="32"/>
          <w:szCs w:val="32"/>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基本情况</w:t>
      </w:r>
    </w:p>
    <w:tbl>
      <w:tblPr>
        <w:tblStyle w:val="22"/>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9"/>
        <w:gridCol w:w="1066"/>
        <w:gridCol w:w="2926"/>
        <w:gridCol w:w="920"/>
      </w:tblGrid>
      <w:tr w14:paraId="73FFF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4149" w:type="dxa"/>
            <w:vAlign w:val="center"/>
          </w:tcPr>
          <w:p w14:paraId="662213B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单项工程名称</w:t>
            </w:r>
          </w:p>
        </w:tc>
        <w:tc>
          <w:tcPr>
            <w:tcW w:w="1066" w:type="dxa"/>
            <w:vAlign w:val="center"/>
          </w:tcPr>
          <w:p w14:paraId="0947F61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结构</w:t>
            </w:r>
          </w:p>
        </w:tc>
        <w:tc>
          <w:tcPr>
            <w:tcW w:w="2926" w:type="dxa"/>
            <w:vAlign w:val="center"/>
          </w:tcPr>
          <w:p w14:paraId="3801DC1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建筑总面积（</w:t>
            </w:r>
            <w:r>
              <w:rPr>
                <w:rFonts w:hint="eastAsia" w:ascii="仿宋" w:hAnsi="仿宋" w:eastAsia="仿宋" w:cs="仿宋"/>
                <w:b/>
                <w:sz w:val="28"/>
                <w:szCs w:val="28"/>
              </w:rPr>
              <w:t>㎡</w:t>
            </w:r>
            <w:r>
              <w:rPr>
                <w:rFonts w:hint="eastAsia" w:ascii="仿宋" w:hAnsi="仿宋" w:eastAsia="仿宋" w:cs="仿宋"/>
                <w:b/>
                <w:spacing w:val="14"/>
                <w:sz w:val="28"/>
                <w:szCs w:val="28"/>
              </w:rPr>
              <w:t>）</w:t>
            </w:r>
          </w:p>
        </w:tc>
        <w:tc>
          <w:tcPr>
            <w:tcW w:w="920" w:type="dxa"/>
            <w:vAlign w:val="center"/>
          </w:tcPr>
          <w:p w14:paraId="73E76BD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备注</w:t>
            </w:r>
          </w:p>
        </w:tc>
      </w:tr>
      <w:tr w14:paraId="16360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0E9558B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图文中心</w:t>
            </w:r>
          </w:p>
        </w:tc>
        <w:tc>
          <w:tcPr>
            <w:tcW w:w="1066" w:type="dxa"/>
            <w:vAlign w:val="center"/>
          </w:tcPr>
          <w:p w14:paraId="4E3C287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7BDFFAA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40523.91</w:t>
            </w:r>
          </w:p>
        </w:tc>
        <w:tc>
          <w:tcPr>
            <w:tcW w:w="920" w:type="dxa"/>
            <w:vAlign w:val="center"/>
          </w:tcPr>
          <w:p w14:paraId="3C1CF32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39C80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29DABF7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大学生活动中心（西）</w:t>
            </w:r>
          </w:p>
        </w:tc>
        <w:tc>
          <w:tcPr>
            <w:tcW w:w="1066" w:type="dxa"/>
            <w:vAlign w:val="center"/>
          </w:tcPr>
          <w:p w14:paraId="457A1FC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4A7109F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6662.47</w:t>
            </w:r>
          </w:p>
        </w:tc>
        <w:tc>
          <w:tcPr>
            <w:tcW w:w="920" w:type="dxa"/>
            <w:vAlign w:val="center"/>
          </w:tcPr>
          <w:p w14:paraId="4CA7491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07543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71E1EE3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电子信息及大数据实训中心</w:t>
            </w:r>
          </w:p>
        </w:tc>
        <w:tc>
          <w:tcPr>
            <w:tcW w:w="1066" w:type="dxa"/>
            <w:vAlign w:val="center"/>
          </w:tcPr>
          <w:p w14:paraId="7A80EB3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0A89F54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18193.17</w:t>
            </w:r>
          </w:p>
        </w:tc>
        <w:tc>
          <w:tcPr>
            <w:tcW w:w="920" w:type="dxa"/>
            <w:vAlign w:val="center"/>
          </w:tcPr>
          <w:p w14:paraId="7DE9623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529D3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49F67ED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公共教学楼（西）2号教学楼</w:t>
            </w:r>
          </w:p>
        </w:tc>
        <w:tc>
          <w:tcPr>
            <w:tcW w:w="1066" w:type="dxa"/>
            <w:vAlign w:val="center"/>
          </w:tcPr>
          <w:p w14:paraId="159BA60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091231C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16842.65</w:t>
            </w:r>
          </w:p>
        </w:tc>
        <w:tc>
          <w:tcPr>
            <w:tcW w:w="920" w:type="dxa"/>
            <w:vAlign w:val="center"/>
          </w:tcPr>
          <w:p w14:paraId="761D503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0666D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50E9870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医学专业教学楼</w:t>
            </w:r>
          </w:p>
        </w:tc>
        <w:tc>
          <w:tcPr>
            <w:tcW w:w="1066" w:type="dxa"/>
            <w:vAlign w:val="center"/>
          </w:tcPr>
          <w:p w14:paraId="0B73BAD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2D23208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16703.63</w:t>
            </w:r>
          </w:p>
        </w:tc>
        <w:tc>
          <w:tcPr>
            <w:tcW w:w="920" w:type="dxa"/>
            <w:vAlign w:val="center"/>
          </w:tcPr>
          <w:p w14:paraId="61216A7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36CCA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6952B87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文化传承及戏曲艺术教学楼</w:t>
            </w:r>
          </w:p>
        </w:tc>
        <w:tc>
          <w:tcPr>
            <w:tcW w:w="1066" w:type="dxa"/>
            <w:vAlign w:val="center"/>
          </w:tcPr>
          <w:p w14:paraId="5EE8D95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012C8D0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17738.24</w:t>
            </w:r>
          </w:p>
        </w:tc>
        <w:tc>
          <w:tcPr>
            <w:tcW w:w="920" w:type="dxa"/>
            <w:vAlign w:val="center"/>
          </w:tcPr>
          <w:p w14:paraId="57FB258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7A467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4F4CF9E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医学1号实训楼</w:t>
            </w:r>
          </w:p>
        </w:tc>
        <w:tc>
          <w:tcPr>
            <w:tcW w:w="1066" w:type="dxa"/>
            <w:vAlign w:val="center"/>
          </w:tcPr>
          <w:p w14:paraId="71849BA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73778F6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19185.77</w:t>
            </w:r>
          </w:p>
        </w:tc>
        <w:tc>
          <w:tcPr>
            <w:tcW w:w="920" w:type="dxa"/>
            <w:vAlign w:val="center"/>
          </w:tcPr>
          <w:p w14:paraId="63D1F96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3DEC3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445349F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医学2号实训楼</w:t>
            </w:r>
          </w:p>
        </w:tc>
        <w:tc>
          <w:tcPr>
            <w:tcW w:w="1066" w:type="dxa"/>
            <w:vAlign w:val="center"/>
          </w:tcPr>
          <w:p w14:paraId="4CCA9BC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07B8C41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21567.91</w:t>
            </w:r>
          </w:p>
        </w:tc>
        <w:tc>
          <w:tcPr>
            <w:tcW w:w="920" w:type="dxa"/>
            <w:vAlign w:val="center"/>
          </w:tcPr>
          <w:p w14:paraId="07D38C6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06340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1C84D4C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医学3号实训楼</w:t>
            </w:r>
          </w:p>
        </w:tc>
        <w:tc>
          <w:tcPr>
            <w:tcW w:w="1066" w:type="dxa"/>
            <w:vAlign w:val="center"/>
          </w:tcPr>
          <w:p w14:paraId="4404463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17ED63A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18869.95</w:t>
            </w:r>
          </w:p>
        </w:tc>
        <w:tc>
          <w:tcPr>
            <w:tcW w:w="920" w:type="dxa"/>
            <w:vAlign w:val="center"/>
          </w:tcPr>
          <w:p w14:paraId="6FF9331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03A51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6F5B26B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1号宿舍楼</w:t>
            </w:r>
          </w:p>
        </w:tc>
        <w:tc>
          <w:tcPr>
            <w:tcW w:w="1066" w:type="dxa"/>
            <w:vAlign w:val="center"/>
          </w:tcPr>
          <w:p w14:paraId="4D487E7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35C70B3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18355.02</w:t>
            </w:r>
          </w:p>
        </w:tc>
        <w:tc>
          <w:tcPr>
            <w:tcW w:w="920" w:type="dxa"/>
            <w:vAlign w:val="center"/>
          </w:tcPr>
          <w:p w14:paraId="07FD96F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7731A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338DA39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2号宿舍楼</w:t>
            </w:r>
          </w:p>
        </w:tc>
        <w:tc>
          <w:tcPr>
            <w:tcW w:w="1066" w:type="dxa"/>
            <w:vAlign w:val="center"/>
          </w:tcPr>
          <w:p w14:paraId="79E9D91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3769B98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16407.32</w:t>
            </w:r>
          </w:p>
        </w:tc>
        <w:tc>
          <w:tcPr>
            <w:tcW w:w="920" w:type="dxa"/>
            <w:vAlign w:val="center"/>
          </w:tcPr>
          <w:p w14:paraId="1419D23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34936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00B5461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3号宿舍楼</w:t>
            </w:r>
          </w:p>
        </w:tc>
        <w:tc>
          <w:tcPr>
            <w:tcW w:w="1066" w:type="dxa"/>
            <w:vAlign w:val="center"/>
          </w:tcPr>
          <w:p w14:paraId="7532206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385712E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18194.27</w:t>
            </w:r>
          </w:p>
        </w:tc>
        <w:tc>
          <w:tcPr>
            <w:tcW w:w="920" w:type="dxa"/>
            <w:vAlign w:val="center"/>
          </w:tcPr>
          <w:p w14:paraId="6F7F85D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0DB4A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2B421E4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4号宿舍楼</w:t>
            </w:r>
          </w:p>
        </w:tc>
        <w:tc>
          <w:tcPr>
            <w:tcW w:w="1066" w:type="dxa"/>
            <w:vAlign w:val="center"/>
          </w:tcPr>
          <w:p w14:paraId="662EBD3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6220E6F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16043.05</w:t>
            </w:r>
          </w:p>
        </w:tc>
        <w:tc>
          <w:tcPr>
            <w:tcW w:w="920" w:type="dxa"/>
            <w:vAlign w:val="center"/>
          </w:tcPr>
          <w:p w14:paraId="1D5256A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69ABE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4761C34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5号宿舍楼</w:t>
            </w:r>
          </w:p>
        </w:tc>
        <w:tc>
          <w:tcPr>
            <w:tcW w:w="1066" w:type="dxa"/>
            <w:vAlign w:val="center"/>
          </w:tcPr>
          <w:p w14:paraId="296E486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05F3943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16278.91</w:t>
            </w:r>
          </w:p>
        </w:tc>
        <w:tc>
          <w:tcPr>
            <w:tcW w:w="920" w:type="dxa"/>
            <w:vAlign w:val="center"/>
          </w:tcPr>
          <w:p w14:paraId="6531701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35508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12D8E57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6号宿舍楼</w:t>
            </w:r>
          </w:p>
        </w:tc>
        <w:tc>
          <w:tcPr>
            <w:tcW w:w="1066" w:type="dxa"/>
            <w:vAlign w:val="center"/>
          </w:tcPr>
          <w:p w14:paraId="1638DEB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374C772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16278.91</w:t>
            </w:r>
          </w:p>
        </w:tc>
        <w:tc>
          <w:tcPr>
            <w:tcW w:w="920" w:type="dxa"/>
            <w:vAlign w:val="center"/>
          </w:tcPr>
          <w:p w14:paraId="564C191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5D511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4E46913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7号宿舍楼</w:t>
            </w:r>
          </w:p>
        </w:tc>
        <w:tc>
          <w:tcPr>
            <w:tcW w:w="1066" w:type="dxa"/>
            <w:vAlign w:val="center"/>
          </w:tcPr>
          <w:p w14:paraId="7AE0485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27A3A21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16043.05</w:t>
            </w:r>
          </w:p>
        </w:tc>
        <w:tc>
          <w:tcPr>
            <w:tcW w:w="920" w:type="dxa"/>
            <w:vAlign w:val="center"/>
          </w:tcPr>
          <w:p w14:paraId="5FCEBB2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67ECF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056AF81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戏曲艺术教学楼</w:t>
            </w:r>
          </w:p>
        </w:tc>
        <w:tc>
          <w:tcPr>
            <w:tcW w:w="1066" w:type="dxa"/>
            <w:vAlign w:val="center"/>
          </w:tcPr>
          <w:p w14:paraId="6558A48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38225EF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9209.55</w:t>
            </w:r>
          </w:p>
        </w:tc>
        <w:tc>
          <w:tcPr>
            <w:tcW w:w="920" w:type="dxa"/>
            <w:vAlign w:val="center"/>
          </w:tcPr>
          <w:p w14:paraId="7B60386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22831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73F531D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校医院</w:t>
            </w:r>
          </w:p>
        </w:tc>
        <w:tc>
          <w:tcPr>
            <w:tcW w:w="1066" w:type="dxa"/>
            <w:vAlign w:val="center"/>
          </w:tcPr>
          <w:p w14:paraId="5875FC9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22A7A39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10389</w:t>
            </w:r>
          </w:p>
        </w:tc>
        <w:tc>
          <w:tcPr>
            <w:tcW w:w="920" w:type="dxa"/>
            <w:vAlign w:val="center"/>
          </w:tcPr>
          <w:p w14:paraId="7807DA7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1C0D2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21E2E97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1号餐厅</w:t>
            </w:r>
          </w:p>
        </w:tc>
        <w:tc>
          <w:tcPr>
            <w:tcW w:w="1066" w:type="dxa"/>
            <w:vAlign w:val="center"/>
          </w:tcPr>
          <w:p w14:paraId="3E80A95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319C0C2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11635.13</w:t>
            </w:r>
          </w:p>
        </w:tc>
        <w:tc>
          <w:tcPr>
            <w:tcW w:w="920" w:type="dxa"/>
            <w:vAlign w:val="center"/>
          </w:tcPr>
          <w:p w14:paraId="0608BD9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3DC7A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532C71A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2号餐厅</w:t>
            </w:r>
          </w:p>
        </w:tc>
        <w:tc>
          <w:tcPr>
            <w:tcW w:w="1066" w:type="dxa"/>
            <w:vAlign w:val="center"/>
          </w:tcPr>
          <w:p w14:paraId="7B39A5B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47D7CED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6194.53</w:t>
            </w:r>
          </w:p>
        </w:tc>
        <w:tc>
          <w:tcPr>
            <w:tcW w:w="920" w:type="dxa"/>
            <w:vAlign w:val="center"/>
          </w:tcPr>
          <w:p w14:paraId="6DAE3F4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7F7BC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2F3B113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大门（1）（2）</w:t>
            </w:r>
          </w:p>
        </w:tc>
        <w:tc>
          <w:tcPr>
            <w:tcW w:w="1066" w:type="dxa"/>
            <w:vAlign w:val="center"/>
          </w:tcPr>
          <w:p w14:paraId="67CB03E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1EECDD5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531</w:t>
            </w:r>
          </w:p>
        </w:tc>
        <w:tc>
          <w:tcPr>
            <w:tcW w:w="920" w:type="dxa"/>
            <w:vAlign w:val="center"/>
          </w:tcPr>
          <w:p w14:paraId="5EF45E7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2982D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6D22CFA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地下车库（1）一期部分</w:t>
            </w:r>
          </w:p>
        </w:tc>
        <w:tc>
          <w:tcPr>
            <w:tcW w:w="1066" w:type="dxa"/>
            <w:vAlign w:val="center"/>
          </w:tcPr>
          <w:p w14:paraId="013AF8B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框架</w:t>
            </w:r>
          </w:p>
        </w:tc>
        <w:tc>
          <w:tcPr>
            <w:tcW w:w="2926" w:type="dxa"/>
            <w:vAlign w:val="center"/>
          </w:tcPr>
          <w:p w14:paraId="429BEBC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19461.98</w:t>
            </w:r>
          </w:p>
        </w:tc>
        <w:tc>
          <w:tcPr>
            <w:tcW w:w="920" w:type="dxa"/>
            <w:vAlign w:val="center"/>
          </w:tcPr>
          <w:p w14:paraId="2CE7FE8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r w14:paraId="027C4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49" w:type="dxa"/>
            <w:vAlign w:val="center"/>
          </w:tcPr>
          <w:p w14:paraId="3EDB79F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合   计</w:t>
            </w:r>
          </w:p>
        </w:tc>
        <w:tc>
          <w:tcPr>
            <w:tcW w:w="1066" w:type="dxa"/>
            <w:vAlign w:val="center"/>
          </w:tcPr>
          <w:p w14:paraId="74DEAF1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w:t>
            </w:r>
          </w:p>
        </w:tc>
        <w:tc>
          <w:tcPr>
            <w:tcW w:w="2926" w:type="dxa"/>
            <w:vAlign w:val="center"/>
          </w:tcPr>
          <w:p w14:paraId="28F92CA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right"/>
              <w:textAlignment w:val="auto"/>
              <w:rPr>
                <w:rFonts w:hint="eastAsia" w:ascii="仿宋" w:hAnsi="仿宋" w:eastAsia="仿宋" w:cs="仿宋"/>
                <w:b/>
                <w:spacing w:val="14"/>
                <w:sz w:val="28"/>
                <w:szCs w:val="28"/>
              </w:rPr>
            </w:pPr>
            <w:r>
              <w:rPr>
                <w:rFonts w:hint="eastAsia" w:ascii="仿宋" w:hAnsi="仿宋" w:eastAsia="仿宋" w:cs="仿宋"/>
                <w:b/>
                <w:spacing w:val="14"/>
                <w:sz w:val="28"/>
                <w:szCs w:val="28"/>
              </w:rPr>
              <w:t>351309.42</w:t>
            </w:r>
          </w:p>
        </w:tc>
        <w:tc>
          <w:tcPr>
            <w:tcW w:w="920" w:type="dxa"/>
            <w:vAlign w:val="center"/>
          </w:tcPr>
          <w:p w14:paraId="0E441BF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 w:hAnsi="仿宋" w:eastAsia="仿宋" w:cs="仿宋"/>
                <w:b/>
                <w:spacing w:val="14"/>
                <w:sz w:val="28"/>
                <w:szCs w:val="28"/>
              </w:rPr>
            </w:pPr>
          </w:p>
        </w:tc>
      </w:tr>
    </w:tbl>
    <w:p w14:paraId="17039732">
      <w:pPr>
        <w:spacing w:after="0" w:line="560" w:lineRule="exact"/>
        <w:ind w:firstLine="560" w:firstLineChars="200"/>
        <w:jc w:val="both"/>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rPr>
        <w:t>伊滨校区一期</w:t>
      </w:r>
      <w:r>
        <w:rPr>
          <w:rFonts w:hint="eastAsia" w:ascii="仿宋" w:hAnsi="仿宋" w:eastAsia="仿宋" w:cs="仿宋"/>
          <w:i w:val="0"/>
          <w:iCs w:val="0"/>
          <w:caps w:val="0"/>
          <w:color w:val="333333"/>
          <w:spacing w:val="0"/>
          <w:sz w:val="28"/>
          <w:szCs w:val="28"/>
          <w:shd w:val="clear" w:color="auto" w:fill="FFFFFF"/>
          <w:lang w:val="en-US" w:eastAsia="zh-CN"/>
        </w:rPr>
        <w:t>消防设施</w:t>
      </w:r>
      <w:r>
        <w:rPr>
          <w:rFonts w:hint="eastAsia" w:ascii="仿宋" w:hAnsi="仿宋" w:eastAsia="仿宋" w:cs="仿宋"/>
          <w:i w:val="0"/>
          <w:iCs w:val="0"/>
          <w:caps w:val="0"/>
          <w:color w:val="333333"/>
          <w:spacing w:val="0"/>
          <w:sz w:val="28"/>
          <w:szCs w:val="28"/>
          <w:shd w:val="clear" w:color="auto" w:fill="FFFFFF"/>
        </w:rPr>
        <w:t>共有</w:t>
      </w:r>
      <w:r>
        <w:rPr>
          <w:rFonts w:hint="eastAsia" w:ascii="仿宋" w:hAnsi="仿宋" w:eastAsia="仿宋" w:cs="仿宋"/>
          <w:i w:val="0"/>
          <w:iCs w:val="0"/>
          <w:caps w:val="0"/>
          <w:color w:val="333333"/>
          <w:spacing w:val="0"/>
          <w:sz w:val="28"/>
          <w:szCs w:val="28"/>
          <w:shd w:val="clear" w:color="auto" w:fill="FFFFFF"/>
          <w:lang w:eastAsia="zh-CN"/>
        </w:rPr>
        <w:t>：</w:t>
      </w:r>
      <w:r>
        <w:rPr>
          <w:rFonts w:hint="eastAsia" w:ascii="仿宋" w:hAnsi="仿宋" w:eastAsia="仿宋" w:cs="仿宋"/>
          <w:i w:val="0"/>
          <w:iCs w:val="0"/>
          <w:caps w:val="0"/>
          <w:color w:val="333333"/>
          <w:spacing w:val="0"/>
          <w:sz w:val="28"/>
          <w:szCs w:val="28"/>
          <w:shd w:val="clear" w:color="auto" w:fill="FFFFFF"/>
          <w:lang w:val="en-US" w:eastAsia="zh-CN"/>
        </w:rPr>
        <w:t>烟感探测器9570个、温感探测器312个、手动报警按钮719个、消火栓报警按钮1021个、喷淋头11755个、防火门672个、防火卷帘259个、室内消火栓1261套、应急照明灯4361个、疏散指示灯3856个等。</w:t>
      </w:r>
    </w:p>
    <w:bookmarkEnd w:id="0"/>
    <w:p w14:paraId="1CCF4CEB">
      <w:pPr>
        <w:spacing w:after="0" w:line="560" w:lineRule="exact"/>
        <w:ind w:firstLine="562" w:firstLineChars="200"/>
        <w:jc w:val="both"/>
        <w:rPr>
          <w:rFonts w:hint="eastAsia" w:ascii="仿宋" w:hAnsi="仿宋" w:eastAsia="仿宋" w:cs="仿宋"/>
          <w:b/>
          <w:bCs/>
          <w:i w:val="0"/>
          <w:iCs w:val="0"/>
          <w:caps w:val="0"/>
          <w:color w:val="333333"/>
          <w:spacing w:val="0"/>
          <w:sz w:val="28"/>
          <w:szCs w:val="28"/>
          <w:shd w:val="clear" w:color="auto" w:fill="FFFFFF"/>
          <w:lang w:val="en-US" w:eastAsia="zh-CN"/>
        </w:rPr>
      </w:pPr>
      <w:r>
        <w:rPr>
          <w:rFonts w:hint="eastAsia" w:ascii="仿宋" w:hAnsi="仿宋" w:eastAsia="仿宋" w:cs="仿宋"/>
          <w:b/>
          <w:bCs/>
          <w:i w:val="0"/>
          <w:iCs w:val="0"/>
          <w:caps w:val="0"/>
          <w:color w:val="333333"/>
          <w:spacing w:val="0"/>
          <w:sz w:val="28"/>
          <w:szCs w:val="28"/>
          <w:shd w:val="clear" w:color="auto" w:fill="FFFFFF"/>
          <w:lang w:val="en-US" w:eastAsia="zh-CN"/>
        </w:rPr>
        <w:t>一、项目报价</w:t>
      </w:r>
    </w:p>
    <w:p w14:paraId="1A839853">
      <w:pPr>
        <w:spacing w:after="0" w:line="560" w:lineRule="exact"/>
        <w:ind w:firstLine="560" w:firstLineChars="200"/>
        <w:jc w:val="both"/>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含税报价（注：投标方签订合同后一个月内把招标方现有消防设施排查完毕，以书面形式作出汇总，并报于甲方。损坏的部分（单件材料价值1000.00元人民币以内）要维修完毕。</w:t>
      </w:r>
    </w:p>
    <w:p w14:paraId="438E6660">
      <w:pPr>
        <w:spacing w:after="0" w:line="560" w:lineRule="exact"/>
        <w:ind w:firstLine="562" w:firstLineChars="200"/>
        <w:jc w:val="both"/>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b/>
          <w:bCs/>
          <w:i w:val="0"/>
          <w:iCs w:val="0"/>
          <w:caps w:val="0"/>
          <w:color w:val="333333"/>
          <w:spacing w:val="0"/>
          <w:sz w:val="28"/>
          <w:szCs w:val="28"/>
          <w:shd w:val="clear" w:color="auto" w:fill="FFFFFF"/>
          <w:lang w:val="en-US" w:eastAsia="zh-CN"/>
        </w:rPr>
        <w:t>二、招标方式及时限</w:t>
      </w:r>
    </w:p>
    <w:p w14:paraId="6BA13F64">
      <w:pPr>
        <w:spacing w:after="0" w:line="560" w:lineRule="exact"/>
        <w:ind w:firstLine="560" w:firstLineChars="200"/>
        <w:jc w:val="both"/>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1、本项目采用询价的方式进行。</w:t>
      </w:r>
      <w:bookmarkStart w:id="1" w:name="OLE_LINK3"/>
    </w:p>
    <w:p w14:paraId="75D79671">
      <w:pPr>
        <w:spacing w:after="0" w:line="560" w:lineRule="exact"/>
        <w:ind w:firstLine="560" w:firstLineChars="200"/>
        <w:jc w:val="both"/>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2、本次招标期限三年，每期合同期限为一年。第2、3年根据学校工作需要和财政预算实际，结合日常服务质量和考核结果，确定是否续签和每期续签时长</w:t>
      </w:r>
      <w:bookmarkEnd w:id="1"/>
      <w:r>
        <w:rPr>
          <w:rFonts w:hint="eastAsia" w:ascii="仿宋" w:hAnsi="仿宋" w:eastAsia="仿宋" w:cs="仿宋"/>
          <w:i w:val="0"/>
          <w:iCs w:val="0"/>
          <w:caps w:val="0"/>
          <w:color w:val="333333"/>
          <w:spacing w:val="0"/>
          <w:sz w:val="28"/>
          <w:szCs w:val="28"/>
          <w:shd w:val="clear" w:color="auto" w:fill="FFFFFF"/>
          <w:lang w:val="en-US" w:eastAsia="zh-CN"/>
        </w:rPr>
        <w:t>。</w:t>
      </w:r>
    </w:p>
    <w:p w14:paraId="46FEBB79">
      <w:pPr>
        <w:spacing w:after="0" w:line="560" w:lineRule="exact"/>
        <w:ind w:firstLine="562" w:firstLineChars="200"/>
        <w:jc w:val="both"/>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b/>
          <w:bCs/>
          <w:i w:val="0"/>
          <w:iCs w:val="0"/>
          <w:caps w:val="0"/>
          <w:color w:val="333333"/>
          <w:spacing w:val="0"/>
          <w:sz w:val="28"/>
          <w:szCs w:val="28"/>
          <w:shd w:val="clear" w:color="auto" w:fill="FFFFFF"/>
          <w:lang w:val="en-US" w:eastAsia="zh-CN"/>
        </w:rPr>
        <w:t>三、支付方式</w:t>
      </w:r>
    </w:p>
    <w:p w14:paraId="4EB597A8">
      <w:pPr>
        <w:spacing w:after="0" w:line="560" w:lineRule="exact"/>
        <w:ind w:firstLine="560" w:firstLineChars="200"/>
        <w:jc w:val="both"/>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消防维保费分4期支付（即3个月核算结算一次），每期付中标价的四分之一，实际付款金额以维保考核验收结果进行核算。</w:t>
      </w:r>
    </w:p>
    <w:p w14:paraId="2CF3DA16">
      <w:pPr>
        <w:spacing w:after="0" w:line="560" w:lineRule="exact"/>
        <w:ind w:firstLine="562" w:firstLineChars="200"/>
        <w:jc w:val="both"/>
        <w:rPr>
          <w:rFonts w:hint="eastAsia" w:ascii="仿宋" w:hAnsi="仿宋" w:eastAsia="仿宋" w:cs="仿宋"/>
          <w:b/>
          <w:bCs/>
          <w:i w:val="0"/>
          <w:iCs w:val="0"/>
          <w:caps w:val="0"/>
          <w:color w:val="333333"/>
          <w:spacing w:val="0"/>
          <w:sz w:val="28"/>
          <w:szCs w:val="28"/>
          <w:shd w:val="clear" w:color="auto" w:fill="FFFFFF"/>
          <w:lang w:val="en-US" w:eastAsia="zh-CN"/>
        </w:rPr>
      </w:pPr>
      <w:r>
        <w:rPr>
          <w:rFonts w:hint="eastAsia" w:ascii="仿宋" w:hAnsi="仿宋" w:eastAsia="仿宋" w:cs="仿宋"/>
          <w:b/>
          <w:bCs/>
          <w:i w:val="0"/>
          <w:iCs w:val="0"/>
          <w:caps w:val="0"/>
          <w:color w:val="333333"/>
          <w:spacing w:val="0"/>
          <w:sz w:val="28"/>
          <w:szCs w:val="28"/>
          <w:shd w:val="clear" w:color="auto" w:fill="FFFFFF"/>
          <w:lang w:val="en-US" w:eastAsia="zh-CN"/>
        </w:rPr>
        <w:t>四、人员要求</w:t>
      </w:r>
    </w:p>
    <w:p w14:paraId="645E6BAD">
      <w:pPr>
        <w:spacing w:after="0" w:line="560" w:lineRule="exact"/>
        <w:ind w:firstLine="560" w:firstLineChars="200"/>
        <w:jc w:val="both"/>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一）要求中标公司派出两名技术人员工作时间常驻学校，且有一名驻场人员必须是一级消防工程师，另外一名驻场人员需持有中级消防设施操作员证，并按国家规定的工作时间按时到校考勤签到值守，及时维修保</w:t>
      </w:r>
      <w:bookmarkStart w:id="2" w:name="_GoBack"/>
      <w:bookmarkEnd w:id="2"/>
      <w:r>
        <w:rPr>
          <w:rFonts w:hint="eastAsia" w:ascii="仿宋" w:hAnsi="仿宋" w:eastAsia="仿宋" w:cs="仿宋"/>
          <w:i w:val="0"/>
          <w:iCs w:val="0"/>
          <w:caps w:val="0"/>
          <w:color w:val="333333"/>
          <w:spacing w:val="0"/>
          <w:sz w:val="28"/>
          <w:szCs w:val="28"/>
          <w:shd w:val="clear" w:color="auto" w:fill="FFFFFF"/>
          <w:lang w:val="en-US" w:eastAsia="zh-CN"/>
        </w:rPr>
        <w:t>养消防设施设备。</w:t>
      </w:r>
    </w:p>
    <w:p w14:paraId="28F3869E">
      <w:pPr>
        <w:pStyle w:val="2"/>
        <w:ind w:firstLine="560" w:firstLineChars="200"/>
        <w:rPr>
          <w:rFonts w:hint="eastAsia"/>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（二）免费为招标方相关人员提供消防知识和技能的培训。</w:t>
      </w:r>
    </w:p>
    <w:p w14:paraId="2C3076F5">
      <w:pPr>
        <w:numPr>
          <w:ilvl w:val="0"/>
          <w:numId w:val="0"/>
        </w:numPr>
        <w:spacing w:after="0" w:line="560" w:lineRule="exact"/>
        <w:ind w:firstLine="562" w:firstLineChars="200"/>
        <w:jc w:val="both"/>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b/>
          <w:bCs/>
          <w:i w:val="0"/>
          <w:iCs w:val="0"/>
          <w:caps w:val="0"/>
          <w:color w:val="333333"/>
          <w:spacing w:val="0"/>
          <w:sz w:val="28"/>
          <w:szCs w:val="28"/>
          <w:shd w:val="clear" w:color="auto" w:fill="FFFFFF"/>
          <w:lang w:val="en-US" w:eastAsia="zh-CN"/>
        </w:rPr>
        <w:t>五、维保要求</w:t>
      </w:r>
    </w:p>
    <w:p w14:paraId="04E60F57">
      <w:pPr>
        <w:keepNext w:val="0"/>
        <w:keepLines w:val="0"/>
        <w:pageBreakBefore w:val="0"/>
        <w:widowControl w:val="0"/>
        <w:kinsoku/>
        <w:wordWrap/>
        <w:overflowPunct/>
        <w:topLinePunct w:val="0"/>
        <w:autoSpaceDE/>
        <w:autoSpaceDN/>
        <w:bidi w:val="0"/>
        <w:adjustRightInd/>
        <w:snapToGrid/>
        <w:spacing w:after="0" w:line="120" w:lineRule="auto"/>
        <w:ind w:firstLine="560" w:firstLineChars="20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（一）火灾自动报警系统</w:t>
      </w:r>
    </w:p>
    <w:p w14:paraId="50BD0AE8">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1．每月采用专用检测仪器分期分批试验探测器动作及确认显示是否正常。</w:t>
      </w:r>
    </w:p>
    <w:p w14:paraId="2E43BFA6">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2．征得招标方同意，每月对火灾报警装置的声光工作是否正常进行检测。</w:t>
      </w:r>
    </w:p>
    <w:p w14:paraId="10B81F23">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3．每月对水流指示器、压力开关，等报警功能、信号显示进行检测。</w:t>
      </w:r>
    </w:p>
    <w:p w14:paraId="3090B680">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4．每月对备用电源进行1—2次充放电试验，1—3次主电源和备用电源切换试验。</w:t>
      </w:r>
    </w:p>
    <w:p w14:paraId="457A1D2A">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第一阶段：</w:t>
      </w:r>
    </w:p>
    <w:p w14:paraId="6DFCAB80">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①系统布线、消防控制室检测</w:t>
      </w:r>
    </w:p>
    <w:p w14:paraId="7A512D1F">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②火灾探测器、手动报警按钮、火灾显示盘逐个检测</w:t>
      </w:r>
    </w:p>
    <w:p w14:paraId="444F4A31">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③火灾报警控制器和消防联动控制设备功能检测</w:t>
      </w:r>
    </w:p>
    <w:p w14:paraId="7D003E68">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第二阶段：</w:t>
      </w:r>
    </w:p>
    <w:p w14:paraId="73DD5C02">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①火灾事故广播、消防通讯、声光报警器、消防电梯逐个远程通断检测</w:t>
      </w:r>
    </w:p>
    <w:p w14:paraId="72825B34">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②依据设计的联动逻辑关系进行整体联动检测</w:t>
      </w:r>
    </w:p>
    <w:p w14:paraId="36A11227">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第三阶段：对上述二阶段检测中的建议整改项目逐条进行复测</w:t>
      </w:r>
    </w:p>
    <w:p w14:paraId="499AF460">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火灾自动报警及联动控制维护保养</w:t>
      </w:r>
    </w:p>
    <w:p w14:paraId="625CA569">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1、集中控制器（包括区域报警器）每月试验火灾报警控制器的基本功能并对备用电源进行充放电试验1～2次，主电源和备用电源自动切换试验1～3次。 </w:t>
      </w:r>
    </w:p>
    <w:p w14:paraId="5C2AAF9C">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2、探测器：每月试验（不少于10%）探测器的报警功能是否正常，并排除探测器的故障。 </w:t>
      </w:r>
    </w:p>
    <w:p w14:paraId="3EDD8801">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3、服务期内全部清洗一遍，并作响应阈值及其它必要的功能试验。 </w:t>
      </w:r>
    </w:p>
    <w:p w14:paraId="38A09F1F">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4、用专用检测仪器分期分批试验探测器的报警功能及确认灯显示功能。 </w:t>
      </w:r>
    </w:p>
    <w:p w14:paraId="35BD28AF">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5、手动报警按钮：每月试验（不少于10%）手报按钮的功能是否正常。</w:t>
      </w:r>
    </w:p>
    <w:p w14:paraId="1509ABCB">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6、对联动系统的维护保养：每年至少对下列消防控制设备手动、自动试验1～3次，试验消防控制设备的控制显示功能。 </w:t>
      </w:r>
    </w:p>
    <w:p w14:paraId="3E90D7F5">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（1）室内消火栓、自动喷水灭火系统的控制设备； </w:t>
      </w:r>
    </w:p>
    <w:p w14:paraId="01FBE5BB">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（2）火灾事故广播、火灾事故照明灯及疏散指示标志灯； </w:t>
      </w:r>
    </w:p>
    <w:p w14:paraId="7FE30C51">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（4）消防通讯设备应在消防控制室进行对讲通话试验； </w:t>
      </w:r>
    </w:p>
    <w:p w14:paraId="1529AA6D">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（5）强制切断非消防电源功能试验；</w:t>
      </w:r>
    </w:p>
    <w:p w14:paraId="362565C4">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2、管路系统的维护保养：</w:t>
      </w:r>
    </w:p>
    <w:p w14:paraId="242F4A30">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（1）观察稳压泵的启动频率，确定管网有无渗漏现象。</w:t>
      </w:r>
    </w:p>
    <w:p w14:paraId="49F9A25E">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①外观检查：检查管道有无机械损伤、油漆脱落、锈蚀等，管道固定是否牢固，发现问题应及时处理。 </w:t>
      </w:r>
    </w:p>
    <w:p w14:paraId="3A77F0DA">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②清除堵塞：系统管道中,可能因施工疏忽残留有砂、石、木屑或水源带来的垃圾、铁锈等，这样会造成喷头堵塞、报警阀关闭不严、水力警铃输水管堵塞等。 </w:t>
      </w:r>
    </w:p>
    <w:p w14:paraId="4266FF58">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（2）每月需对不少于20%的管道末端进行放水，确保管道内的水质良好，并对水流指示器的报警功能进行检查。</w:t>
      </w:r>
    </w:p>
    <w:p w14:paraId="66D6BA73">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3、报警阀的维护保养：</w:t>
      </w:r>
    </w:p>
    <w:p w14:paraId="2838FBAF">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对报警阀应进行开阀试验，观察阀门开启性能和密封性能，以及报警阀各部件的工作状态是否正常；每季度应对报警阀旁的放水试验阀进行一次放水试验，验证系统的供水能力，压力开关的报警功能是否正常。对安装的压力表要定期检查。检查报警前、后压力表指示是否正常。</w:t>
      </w:r>
    </w:p>
    <w:p w14:paraId="72917AE6">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4、气压水罐的维护保养：</w:t>
      </w:r>
    </w:p>
    <w:p w14:paraId="2CB4293F">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（1）打开排气阀，检查是否能够自动加压。 </w:t>
      </w:r>
    </w:p>
    <w:p w14:paraId="52A98FFE">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（2）打开试验排水阀，检查减水时能否自动供水，加压装置及供水装置压力表是否显示正常。</w:t>
      </w:r>
    </w:p>
    <w:p w14:paraId="4BCA0911">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（3）打开排气阀或试验排水阀时，为防止气压水罐内的压力较高造成危险，应慢慢将阀门打开。 </w:t>
      </w:r>
    </w:p>
    <w:p w14:paraId="0B688BE1">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5、水源及消防水泵房的维护保养： </w:t>
      </w:r>
    </w:p>
    <w:p w14:paraId="5FD6F821">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（1）消防水泵接合器的接口及附件应每月检查一次，并应保证接口完好、无渗漏、闷盖齐全、接口与盖板连接牢固。 </w:t>
      </w:r>
    </w:p>
    <w:p w14:paraId="1EBAF109">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（2）检查消防水池的水位能否保持消防用水量；水位标尺是否正常工作；水池各种阀门是否处于正常状态；有无受冻的可能。 </w:t>
      </w:r>
    </w:p>
    <w:p w14:paraId="6848E87F">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（3）检查消防水箱的水量能否满足要求；消防气压给水装置能否保证水量和水压；自动控制系统能否正常工作。并应对保证消防用水不被挪作他用的措施进行检查，发现故障，应及时进行处理。</w:t>
      </w:r>
    </w:p>
    <w:p w14:paraId="4FD2BC2C">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（4）水位计、压力表工作是否正常，压力表指针是否正确。 </w:t>
      </w:r>
    </w:p>
    <w:p w14:paraId="3CBE2C19">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（5）每年应对水源的供水能力进行一次测定；室外阀门井中，进水管上的控制阀门应每个季度检查一次，核实是否处于全开启状态。</w:t>
      </w:r>
    </w:p>
    <w:p w14:paraId="701826B2">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（6）每年对消防储水设备进行检查，修补缺损。</w:t>
      </w:r>
    </w:p>
    <w:p w14:paraId="6162AAC7">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（7）对消防水泵的维护保养：</w:t>
      </w:r>
    </w:p>
    <w:p w14:paraId="44A758E7">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①检查消防水泵动力运行是否可靠，水泵能否正常运转，流量和压力能否保证；电力上有无保证不间断供电设施，其性能是否良好；</w:t>
      </w:r>
    </w:p>
    <w:p w14:paraId="1FE5B283">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消防水泵应每月启动运转1～3次；当消防水泵为自动控制启动时，应每月模拟自动控制的条件启动运转1～3次。 </w:t>
      </w:r>
    </w:p>
    <w:p w14:paraId="406B98F1">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②手动、自动控制启水泵1～3次，查信号有否返馈，水压是否上升，电机转动是否正常。有无变形、发热等状况。轴与电机、连接部件是否有松动、锈蚀、变形、发热，是否要加油。</w:t>
      </w:r>
    </w:p>
    <w:p w14:paraId="4AC12CEA">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③主、备泵能否自动切换</w:t>
      </w:r>
    </w:p>
    <w:p w14:paraId="3F2F0BA7">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④启动水泵，打开试验阀，利用流量计检查压力和流量，起动前应注意各个阀门的启闭状态。 </w:t>
      </w:r>
    </w:p>
    <w:p w14:paraId="4EB27A7B">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⑤压力表是否变形、水泵起动后动作是否正常。</w:t>
      </w:r>
    </w:p>
    <w:p w14:paraId="7B91F175">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⑥每年对消防水泵大修一次，添加润滑油，清洗内部杂质。</w:t>
      </w:r>
    </w:p>
    <w:p w14:paraId="313AB2DD">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（8）电控柜的维护保养： </w:t>
      </w:r>
    </w:p>
    <w:p w14:paraId="6BF88567">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①控制柜有无变形、损伤、腐蚀。 </w:t>
      </w:r>
    </w:p>
    <w:p w14:paraId="22E42E4B">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②线路图及操作说明是否齐全。 </w:t>
      </w:r>
    </w:p>
    <w:p w14:paraId="0A8C5E1D">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③电压、电流表的指针是否在规定的范围内。 </w:t>
      </w:r>
    </w:p>
    <w:p w14:paraId="3F5919AD">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④开关是否有变形、损伤、标志脱落、处于正常状态。 </w:t>
      </w:r>
    </w:p>
    <w:p w14:paraId="4BAF818E">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⑤继电器是否脱落、松动，接点是否烧损，转换开关应处于自动状态。 </w:t>
      </w:r>
    </w:p>
    <w:p w14:paraId="6A4439B1">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⑥控制盘的指示灯是否正常。 </w:t>
      </w:r>
    </w:p>
    <w:p w14:paraId="297C2547">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⑦各导线连接处是否松脱，包皮是否损伤。</w:t>
      </w:r>
    </w:p>
    <w:p w14:paraId="62837D8A">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（9）对水泵电动机的维护保养： </w:t>
      </w:r>
    </w:p>
    <w:p w14:paraId="4ED052B8">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①电动机轴承润滑油是否加足，有无严重脏污、变质现象。转动转轴，检查旋转是否正常。</w:t>
      </w:r>
    </w:p>
    <w:p w14:paraId="3B48F346">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②电动机是否变形、损伤、锈蚀，机械性能是否良好（电动机在运行时应不发热、无异常振动及杂音）。 </w:t>
      </w:r>
    </w:p>
    <w:p w14:paraId="2E09F21B">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③水泵轴与电动机的连接部位是否松动、变形、损伤和严重锈蚀。</w:t>
      </w:r>
    </w:p>
    <w:p w14:paraId="35B86074">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④填料是否明显漏水，有无变形损伤，螺栓螺母是否松动。 </w:t>
      </w:r>
    </w:p>
    <w:p w14:paraId="50322E07">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（三）消防控制联动系统</w:t>
      </w:r>
    </w:p>
    <w:p w14:paraId="0FA0461A">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每季度对下列设备作一次联动工作检查：</w:t>
      </w:r>
    </w:p>
    <w:p w14:paraId="3BEB519C">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1．检查喷水泵的联动工作情况。</w:t>
      </w:r>
    </w:p>
    <w:p w14:paraId="0E22BBD1">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2．检查各消防设施的切换开关是否正常。</w:t>
      </w:r>
    </w:p>
    <w:p w14:paraId="50C5CA06">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3．检查消防水泵的联动工作情况。</w:t>
      </w:r>
    </w:p>
    <w:p w14:paraId="4331A1B8">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4．防火门、防火卷帘系统联动工作情况。</w:t>
      </w:r>
    </w:p>
    <w:p w14:paraId="5E08EABA">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（四）消火栓系统</w:t>
      </w:r>
    </w:p>
    <w:p w14:paraId="10E8D3DC">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1．每月检查室内、室外栓头是否漏水，开关是否灵活，组件是否完整。</w:t>
      </w:r>
    </w:p>
    <w:p w14:paraId="4F661E72">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2．每月对屋面试验栓进行放水试验，并用消火栓按钮启动消防泵，实验供水系统的水量水压。</w:t>
      </w:r>
    </w:p>
    <w:p w14:paraId="7C73E32C">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第一阶段：</w:t>
      </w:r>
    </w:p>
    <w:p w14:paraId="5C929F4E">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①水泵房、室外消防管网、室内消防管网及附属设备检测</w:t>
      </w:r>
    </w:p>
    <w:p w14:paraId="173943D1">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②每层末端放水装置放水试验、水流指示器报警检测，湿式报警阀功能检测</w:t>
      </w:r>
    </w:p>
    <w:p w14:paraId="06251799">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③消火栓按钮逐个报警功能检测，动压及静压测试</w:t>
      </w:r>
    </w:p>
    <w:p w14:paraId="71D04C25">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第二阶段：①消火栓泵、喷淋泵的联动试验</w:t>
      </w:r>
    </w:p>
    <w:p w14:paraId="76F64ED1">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第三阶段：对上述二个阶段检测中建议整改的项目，逐条进行复测</w:t>
      </w:r>
    </w:p>
    <w:p w14:paraId="5C24F80B">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（五）防排烟系统（包括通风、空调，事故应急照明、疏散指示、防火分隔）</w:t>
      </w:r>
    </w:p>
    <w:p w14:paraId="3A7B2374">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1、应急照明灯：试验（不少于10）应急照明灯是否完好，工作是否正常，及时更换损坏的灯泡、电池，每月抽10应急照明灯放电30分钟。 </w:t>
      </w:r>
    </w:p>
    <w:p w14:paraId="70F38BA0">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2、疏散指示灯：检测试验（不少于10%散指示灯是否完好，工作是否正常，及时更换损坏指示灯、灯管、电池，每月抽10%疏散指示灯放电30分钟。</w:t>
      </w:r>
    </w:p>
    <w:p w14:paraId="5CAD33A2">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3、一年两次对应急照明和疏散指示灯进行一次充放电，并做好记录交给招标方。</w:t>
      </w:r>
    </w:p>
    <w:p w14:paraId="46F9BE2D">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1、防火卷帘门： </w:t>
      </w:r>
    </w:p>
    <w:p w14:paraId="6D00C135">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（1）每学期对防火卷帘门在消防控制室远程启、闭三次（不少于10%）；并进行整体联动试验。 </w:t>
      </w:r>
    </w:p>
    <w:p w14:paraId="5F4024CC">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（2）对传动机构（链条、导轨）磨擦处加适量润滑油。 </w:t>
      </w:r>
    </w:p>
    <w:p w14:paraId="3AAD03AB">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（3）每年一次定期对卷帘门的限位开关及电机进行检查。 </w:t>
      </w:r>
    </w:p>
    <w:p w14:paraId="135EBB6B">
      <w:pPr>
        <w:keepNext w:val="0"/>
        <w:keepLines w:val="0"/>
        <w:pageBreakBefore w:val="0"/>
        <w:widowControl w:val="0"/>
        <w:kinsoku/>
        <w:wordWrap/>
        <w:overflowPunct/>
        <w:topLinePunct w:val="0"/>
        <w:autoSpaceDE/>
        <w:autoSpaceDN/>
        <w:bidi w:val="0"/>
        <w:adjustRightInd/>
        <w:snapToGrid/>
        <w:spacing w:line="120"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 xml:space="preserve">2、防火门： </w:t>
      </w:r>
    </w:p>
    <w:p w14:paraId="7CA1310D">
      <w:pPr>
        <w:keepNext w:val="0"/>
        <w:keepLines w:val="0"/>
        <w:pageBreakBefore w:val="0"/>
        <w:widowControl w:val="0"/>
        <w:kinsoku/>
        <w:wordWrap/>
        <w:overflowPunct/>
        <w:topLinePunct w:val="0"/>
        <w:autoSpaceDE/>
        <w:autoSpaceDN/>
        <w:bidi w:val="0"/>
        <w:adjustRightInd/>
        <w:snapToGrid/>
        <w:spacing w:line="48" w:lineRule="auto"/>
        <w:ind w:firstLine="560" w:firstLineChars="200"/>
        <w:textAlignment w:val="auto"/>
        <w:rPr>
          <w:rFonts w:hint="eastAsia" w:ascii="仿宋" w:hAnsi="仿宋" w:eastAsia="仿宋" w:cs="仿宋"/>
          <w:i w:val="0"/>
          <w:iCs w:val="0"/>
          <w:caps w:val="0"/>
          <w:color w:val="333333"/>
          <w:spacing w:val="0"/>
          <w:sz w:val="28"/>
          <w:szCs w:val="28"/>
          <w:shd w:val="clear" w:color="auto" w:fill="FFFFFF"/>
          <w:lang w:val="en-US" w:eastAsia="zh-CN"/>
        </w:rPr>
      </w:pPr>
      <w:r>
        <w:rPr>
          <w:rFonts w:hint="eastAsia" w:ascii="仿宋" w:hAnsi="仿宋" w:eastAsia="仿宋" w:cs="仿宋"/>
          <w:i w:val="0"/>
          <w:iCs w:val="0"/>
          <w:caps w:val="0"/>
          <w:color w:val="333333"/>
          <w:spacing w:val="0"/>
          <w:sz w:val="28"/>
          <w:szCs w:val="28"/>
          <w:shd w:val="clear" w:color="auto" w:fill="FFFFFF"/>
          <w:lang w:val="en-US" w:eastAsia="zh-CN"/>
        </w:rPr>
        <w:t>每月检查防火门的附件（不少于10%），检查是否齐全完好，并及时维修。</w:t>
      </w:r>
    </w:p>
    <w:p w14:paraId="305D4CD9">
      <w:pPr>
        <w:keepNext w:val="0"/>
        <w:keepLines w:val="0"/>
        <w:pageBreakBefore w:val="0"/>
        <w:widowControl w:val="0"/>
        <w:kinsoku/>
        <w:wordWrap/>
        <w:overflowPunct/>
        <w:topLinePunct w:val="0"/>
        <w:autoSpaceDE/>
        <w:autoSpaceDN/>
        <w:bidi w:val="0"/>
        <w:adjustRightInd/>
        <w:snapToGrid/>
        <w:spacing w:after="0" w:line="120" w:lineRule="auto"/>
        <w:ind w:firstLine="560" w:firstLineChars="200"/>
        <w:jc w:val="both"/>
        <w:textAlignment w:val="auto"/>
        <w:rPr>
          <w:rFonts w:hint="eastAsia" w:ascii="仿宋" w:hAnsi="仿宋" w:eastAsia="仿宋" w:cs="仿宋"/>
          <w:i w:val="0"/>
          <w:iCs w:val="0"/>
          <w:caps w:val="0"/>
          <w:color w:val="333333"/>
          <w:spacing w:val="0"/>
          <w:sz w:val="28"/>
          <w:szCs w:val="28"/>
          <w:shd w:val="clear" w:color="auto" w:fill="FFFFFF"/>
          <w:lang w:val="en-US" w:eastAsia="zh-CN"/>
        </w:rPr>
      </w:pPr>
    </w:p>
    <w:sectPr>
      <w:pgSz w:w="11906" w:h="16838"/>
      <w:pgMar w:top="1440" w:right="1474" w:bottom="1440" w:left="147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宋体"/>
    <w:panose1 w:val="00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45C"/>
    <w:rsid w:val="0000745C"/>
    <w:rsid w:val="000833FC"/>
    <w:rsid w:val="00084081"/>
    <w:rsid w:val="00121B05"/>
    <w:rsid w:val="00133D74"/>
    <w:rsid w:val="001D081C"/>
    <w:rsid w:val="001F54D5"/>
    <w:rsid w:val="002A6A72"/>
    <w:rsid w:val="002F0194"/>
    <w:rsid w:val="002F3ACC"/>
    <w:rsid w:val="00483AF2"/>
    <w:rsid w:val="00487A89"/>
    <w:rsid w:val="004D3417"/>
    <w:rsid w:val="004D560D"/>
    <w:rsid w:val="005727F8"/>
    <w:rsid w:val="009D30E2"/>
    <w:rsid w:val="00AE2C6D"/>
    <w:rsid w:val="00B75198"/>
    <w:rsid w:val="00C96421"/>
    <w:rsid w:val="00D80631"/>
    <w:rsid w:val="00F57445"/>
    <w:rsid w:val="00F7020E"/>
    <w:rsid w:val="00FB2FF0"/>
    <w:rsid w:val="00FF39D0"/>
    <w:rsid w:val="059E1945"/>
    <w:rsid w:val="06442E41"/>
    <w:rsid w:val="0AB140AA"/>
    <w:rsid w:val="0D1D5845"/>
    <w:rsid w:val="260158AC"/>
    <w:rsid w:val="281C28CB"/>
    <w:rsid w:val="33254857"/>
    <w:rsid w:val="34A73AC3"/>
    <w:rsid w:val="40C107C0"/>
    <w:rsid w:val="42334BE8"/>
    <w:rsid w:val="51816421"/>
    <w:rsid w:val="59B85CA7"/>
    <w:rsid w:val="59B937CD"/>
    <w:rsid w:val="666B7E17"/>
    <w:rsid w:val="6C89315C"/>
    <w:rsid w:val="7BD77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3">
    <w:name w:val="heading 1"/>
    <w:basedOn w:val="1"/>
    <w:next w:val="1"/>
    <w:link w:val="24"/>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4">
    <w:name w:val="heading 2"/>
    <w:basedOn w:val="1"/>
    <w:next w:val="1"/>
    <w:link w:val="25"/>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5">
    <w:name w:val="heading 3"/>
    <w:basedOn w:val="1"/>
    <w:next w:val="1"/>
    <w:link w:val="26"/>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6">
    <w:name w:val="heading 4"/>
    <w:basedOn w:val="1"/>
    <w:next w:val="1"/>
    <w:link w:val="27"/>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7">
    <w:name w:val="heading 5"/>
    <w:basedOn w:val="1"/>
    <w:next w:val="1"/>
    <w:link w:val="28"/>
    <w:semiHidden/>
    <w:unhideWhenUsed/>
    <w:qFormat/>
    <w:uiPriority w:val="9"/>
    <w:pPr>
      <w:keepNext/>
      <w:keepLines/>
      <w:spacing w:before="80" w:after="40"/>
      <w:outlineLvl w:val="4"/>
    </w:pPr>
    <w:rPr>
      <w:rFonts w:cstheme="majorBidi"/>
      <w:color w:val="104862" w:themeColor="accent1" w:themeShade="BF"/>
      <w:sz w:val="24"/>
    </w:rPr>
  </w:style>
  <w:style w:type="paragraph" w:styleId="8">
    <w:name w:val="heading 6"/>
    <w:basedOn w:val="1"/>
    <w:next w:val="1"/>
    <w:link w:val="29"/>
    <w:semiHidden/>
    <w:unhideWhenUsed/>
    <w:qFormat/>
    <w:uiPriority w:val="9"/>
    <w:pPr>
      <w:keepNext/>
      <w:keepLines/>
      <w:spacing w:before="40" w:after="0"/>
      <w:outlineLvl w:val="5"/>
    </w:pPr>
    <w:rPr>
      <w:rFonts w:cstheme="majorBidi"/>
      <w:b/>
      <w:bCs/>
      <w:color w:val="104862" w:themeColor="accent1" w:themeShade="BF"/>
    </w:rPr>
  </w:style>
  <w:style w:type="paragraph" w:styleId="9">
    <w:name w:val="heading 7"/>
    <w:basedOn w:val="1"/>
    <w:next w:val="1"/>
    <w:link w:val="30"/>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10">
    <w:name w:val="heading 8"/>
    <w:basedOn w:val="1"/>
    <w:next w:val="1"/>
    <w:link w:val="31"/>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1">
    <w:name w:val="heading 9"/>
    <w:basedOn w:val="1"/>
    <w:next w:val="1"/>
    <w:link w:val="32"/>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3">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2">
    <w:name w:val="Body Text"/>
    <w:basedOn w:val="1"/>
    <w:next w:val="1"/>
    <w:qFormat/>
    <w:uiPriority w:val="0"/>
    <w:rPr>
      <w:rFonts w:eastAsia="仿宋_gb2312"/>
      <w:kern w:val="2"/>
      <w:sz w:val="28"/>
      <w:szCs w:val="30"/>
    </w:rPr>
  </w:style>
  <w:style w:type="paragraph" w:styleId="13">
    <w:name w:val="Body Text Indent"/>
    <w:basedOn w:val="1"/>
    <w:next w:val="14"/>
    <w:qFormat/>
    <w:uiPriority w:val="0"/>
    <w:pPr>
      <w:spacing w:line="400" w:lineRule="exact"/>
      <w:ind w:left="630"/>
    </w:pPr>
    <w:rPr>
      <w:rFonts w:ascii="楷体_GB2312" w:eastAsia="仿宋_gb2312"/>
      <w:kern w:val="2"/>
      <w:sz w:val="30"/>
      <w:szCs w:val="30"/>
    </w:rPr>
  </w:style>
  <w:style w:type="paragraph" w:styleId="14">
    <w:name w:val="envelope return"/>
    <w:basedOn w:val="1"/>
    <w:qFormat/>
    <w:uiPriority w:val="0"/>
    <w:pPr>
      <w:snapToGrid w:val="0"/>
    </w:pPr>
    <w:rPr>
      <w:rFonts w:ascii="Arial" w:hAnsi="Arial"/>
    </w:rPr>
  </w:style>
  <w:style w:type="paragraph" w:styleId="15">
    <w:name w:val="List 2"/>
    <w:basedOn w:val="1"/>
    <w:unhideWhenUsed/>
    <w:qFormat/>
    <w:uiPriority w:val="0"/>
    <w:pPr>
      <w:spacing w:after="0" w:line="240" w:lineRule="auto"/>
      <w:ind w:left="100" w:leftChars="200" w:hanging="200" w:hangingChars="200"/>
      <w:contextualSpacing/>
      <w:jc w:val="both"/>
    </w:pPr>
    <w:rPr>
      <w:rFonts w:ascii="仿宋_gb2312" w:hAnsi="Times New Roman" w:eastAsia="仿宋_gb2312" w:cs="Times New Roman"/>
      <w:sz w:val="32"/>
      <w:szCs w:val="32"/>
      <w14:ligatures w14:val="none"/>
    </w:rPr>
  </w:style>
  <w:style w:type="paragraph" w:styleId="16">
    <w:name w:val="footer"/>
    <w:basedOn w:val="1"/>
    <w:link w:val="43"/>
    <w:unhideWhenUsed/>
    <w:uiPriority w:val="99"/>
    <w:pPr>
      <w:tabs>
        <w:tab w:val="center" w:pos="4153"/>
        <w:tab w:val="right" w:pos="8306"/>
      </w:tabs>
      <w:snapToGrid w:val="0"/>
      <w:spacing w:line="240" w:lineRule="auto"/>
    </w:pPr>
    <w:rPr>
      <w:sz w:val="18"/>
      <w:szCs w:val="18"/>
    </w:rPr>
  </w:style>
  <w:style w:type="paragraph" w:styleId="17">
    <w:name w:val="header"/>
    <w:basedOn w:val="1"/>
    <w:link w:val="42"/>
    <w:unhideWhenUsed/>
    <w:uiPriority w:val="99"/>
    <w:pPr>
      <w:tabs>
        <w:tab w:val="center" w:pos="4153"/>
        <w:tab w:val="right" w:pos="8306"/>
      </w:tabs>
      <w:snapToGrid w:val="0"/>
      <w:spacing w:line="240" w:lineRule="auto"/>
      <w:jc w:val="center"/>
    </w:pPr>
    <w:rPr>
      <w:sz w:val="18"/>
      <w:szCs w:val="18"/>
    </w:rPr>
  </w:style>
  <w:style w:type="paragraph" w:styleId="18">
    <w:name w:val="Subtitle"/>
    <w:basedOn w:val="1"/>
    <w:next w:val="1"/>
    <w:link w:val="34"/>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9">
    <w:name w:val="Title"/>
    <w:basedOn w:val="1"/>
    <w:next w:val="1"/>
    <w:link w:val="33"/>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paragraph" w:styleId="20">
    <w:name w:val="Body Text First Indent"/>
    <w:basedOn w:val="12"/>
    <w:next w:val="21"/>
    <w:qFormat/>
    <w:uiPriority w:val="0"/>
    <w:pPr>
      <w:spacing w:after="120" w:afterLines="0"/>
      <w:ind w:firstLine="420"/>
    </w:pPr>
  </w:style>
  <w:style w:type="paragraph" w:styleId="21">
    <w:name w:val="Body Text First Indent 2"/>
    <w:basedOn w:val="13"/>
    <w:next w:val="1"/>
    <w:qFormat/>
    <w:uiPriority w:val="0"/>
    <w:pPr>
      <w:spacing w:after="120" w:afterLines="0" w:line="240" w:lineRule="auto"/>
      <w:ind w:left="200" w:leftChars="200" w:firstLine="200" w:firstLineChars="200"/>
    </w:pPr>
  </w:style>
  <w:style w:type="character" w:customStyle="1" w:styleId="24">
    <w:name w:val="标题 1 字符"/>
    <w:basedOn w:val="23"/>
    <w:link w:val="3"/>
    <w:qFormat/>
    <w:uiPriority w:val="9"/>
    <w:rPr>
      <w:rFonts w:asciiTheme="majorHAnsi" w:hAnsiTheme="majorHAnsi" w:eastAsiaTheme="majorEastAsia" w:cstheme="majorBidi"/>
      <w:color w:val="104862" w:themeColor="accent1" w:themeShade="BF"/>
      <w:sz w:val="48"/>
      <w:szCs w:val="48"/>
    </w:rPr>
  </w:style>
  <w:style w:type="character" w:customStyle="1" w:styleId="25">
    <w:name w:val="标题 2 字符"/>
    <w:basedOn w:val="23"/>
    <w:link w:val="4"/>
    <w:semiHidden/>
    <w:uiPriority w:val="9"/>
    <w:rPr>
      <w:rFonts w:asciiTheme="majorHAnsi" w:hAnsiTheme="majorHAnsi" w:eastAsiaTheme="majorEastAsia" w:cstheme="majorBidi"/>
      <w:color w:val="104862" w:themeColor="accent1" w:themeShade="BF"/>
      <w:sz w:val="40"/>
      <w:szCs w:val="40"/>
    </w:rPr>
  </w:style>
  <w:style w:type="character" w:customStyle="1" w:styleId="26">
    <w:name w:val="标题 3 字符"/>
    <w:basedOn w:val="23"/>
    <w:link w:val="5"/>
    <w:semiHidden/>
    <w:qFormat/>
    <w:uiPriority w:val="9"/>
    <w:rPr>
      <w:rFonts w:asciiTheme="majorHAnsi" w:hAnsiTheme="majorHAnsi" w:eastAsiaTheme="majorEastAsia" w:cstheme="majorBidi"/>
      <w:color w:val="104862" w:themeColor="accent1" w:themeShade="BF"/>
      <w:sz w:val="32"/>
      <w:szCs w:val="32"/>
    </w:rPr>
  </w:style>
  <w:style w:type="character" w:customStyle="1" w:styleId="27">
    <w:name w:val="标题 4 字符"/>
    <w:basedOn w:val="23"/>
    <w:link w:val="6"/>
    <w:semiHidden/>
    <w:qFormat/>
    <w:uiPriority w:val="9"/>
    <w:rPr>
      <w:rFonts w:cstheme="majorBidi"/>
      <w:color w:val="104862" w:themeColor="accent1" w:themeShade="BF"/>
      <w:sz w:val="28"/>
      <w:szCs w:val="28"/>
    </w:rPr>
  </w:style>
  <w:style w:type="character" w:customStyle="1" w:styleId="28">
    <w:name w:val="标题 5 字符"/>
    <w:basedOn w:val="23"/>
    <w:link w:val="7"/>
    <w:semiHidden/>
    <w:qFormat/>
    <w:uiPriority w:val="9"/>
    <w:rPr>
      <w:rFonts w:cstheme="majorBidi"/>
      <w:color w:val="104862" w:themeColor="accent1" w:themeShade="BF"/>
      <w:sz w:val="24"/>
    </w:rPr>
  </w:style>
  <w:style w:type="character" w:customStyle="1" w:styleId="29">
    <w:name w:val="标题 6 字符"/>
    <w:basedOn w:val="23"/>
    <w:link w:val="8"/>
    <w:semiHidden/>
    <w:qFormat/>
    <w:uiPriority w:val="9"/>
    <w:rPr>
      <w:rFonts w:cstheme="majorBidi"/>
      <w:b/>
      <w:bCs/>
      <w:color w:val="104862" w:themeColor="accent1" w:themeShade="BF"/>
    </w:rPr>
  </w:style>
  <w:style w:type="character" w:customStyle="1" w:styleId="30">
    <w:name w:val="标题 7 字符"/>
    <w:basedOn w:val="23"/>
    <w:link w:val="9"/>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1">
    <w:name w:val="标题 8 字符"/>
    <w:basedOn w:val="23"/>
    <w:link w:val="10"/>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2">
    <w:name w:val="标题 9 字符"/>
    <w:basedOn w:val="23"/>
    <w:link w:val="11"/>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3">
    <w:name w:val="标题 字符"/>
    <w:basedOn w:val="23"/>
    <w:link w:val="19"/>
    <w:qFormat/>
    <w:uiPriority w:val="10"/>
    <w:rPr>
      <w:rFonts w:asciiTheme="majorHAnsi" w:hAnsiTheme="majorHAnsi" w:eastAsiaTheme="majorEastAsia" w:cstheme="majorBidi"/>
      <w:spacing w:val="-10"/>
      <w:kern w:val="28"/>
      <w:sz w:val="56"/>
      <w:szCs w:val="56"/>
    </w:rPr>
  </w:style>
  <w:style w:type="character" w:customStyle="1" w:styleId="34">
    <w:name w:val="副标题 字符"/>
    <w:basedOn w:val="23"/>
    <w:link w:val="18"/>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5">
    <w:name w:val="Quote"/>
    <w:basedOn w:val="1"/>
    <w:next w:val="1"/>
    <w:link w:val="36"/>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6">
    <w:name w:val="引用 字符"/>
    <w:basedOn w:val="23"/>
    <w:link w:val="35"/>
    <w:qFormat/>
    <w:uiPriority w:val="29"/>
    <w:rPr>
      <w:i/>
      <w:iCs/>
      <w:color w:val="404040" w:themeColor="text1" w:themeTint="BF"/>
      <w14:textFill>
        <w14:solidFill>
          <w14:schemeClr w14:val="tx1">
            <w14:lumMod w14:val="75000"/>
            <w14:lumOff w14:val="25000"/>
          </w14:schemeClr>
        </w14:solidFill>
      </w14:textFill>
    </w:rPr>
  </w:style>
  <w:style w:type="paragraph" w:styleId="37">
    <w:name w:val="List Paragraph"/>
    <w:basedOn w:val="1"/>
    <w:qFormat/>
    <w:uiPriority w:val="34"/>
    <w:pPr>
      <w:ind w:left="720"/>
      <w:contextualSpacing/>
    </w:pPr>
  </w:style>
  <w:style w:type="character" w:customStyle="1" w:styleId="38">
    <w:name w:val="Intense Emphasis"/>
    <w:basedOn w:val="23"/>
    <w:qFormat/>
    <w:uiPriority w:val="21"/>
    <w:rPr>
      <w:i/>
      <w:iCs/>
      <w:color w:val="104862" w:themeColor="accent1" w:themeShade="BF"/>
    </w:rPr>
  </w:style>
  <w:style w:type="paragraph" w:styleId="39">
    <w:name w:val="Intense Quote"/>
    <w:basedOn w:val="1"/>
    <w:next w:val="1"/>
    <w:link w:val="40"/>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40">
    <w:name w:val="明显引用 字符"/>
    <w:basedOn w:val="23"/>
    <w:link w:val="39"/>
    <w:qFormat/>
    <w:uiPriority w:val="30"/>
    <w:rPr>
      <w:i/>
      <w:iCs/>
      <w:color w:val="104862" w:themeColor="accent1" w:themeShade="BF"/>
    </w:rPr>
  </w:style>
  <w:style w:type="character" w:customStyle="1" w:styleId="41">
    <w:name w:val="Intense Reference"/>
    <w:basedOn w:val="23"/>
    <w:qFormat/>
    <w:uiPriority w:val="32"/>
    <w:rPr>
      <w:b/>
      <w:bCs/>
      <w:smallCaps/>
      <w:color w:val="104862" w:themeColor="accent1" w:themeShade="BF"/>
      <w:spacing w:val="5"/>
    </w:rPr>
  </w:style>
  <w:style w:type="character" w:customStyle="1" w:styleId="42">
    <w:name w:val="页眉 字符"/>
    <w:basedOn w:val="23"/>
    <w:link w:val="17"/>
    <w:uiPriority w:val="99"/>
    <w:rPr>
      <w:sz w:val="18"/>
      <w:szCs w:val="18"/>
    </w:rPr>
  </w:style>
  <w:style w:type="character" w:customStyle="1" w:styleId="43">
    <w:name w:val="页脚 字符"/>
    <w:basedOn w:val="23"/>
    <w:link w:val="16"/>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3450</Words>
  <Characters>3663</Characters>
  <Lines>10</Lines>
  <Paragraphs>3</Paragraphs>
  <TotalTime>0</TotalTime>
  <ScaleCrop>false</ScaleCrop>
  <LinksUpToDate>false</LinksUpToDate>
  <CharactersWithSpaces>3700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2025-11-05T02:00:00Z</dcterms:created>
  <dc:creator>Administrator</dc:creator>
  <cp:lastModifiedBy>张璐</cp:lastModifiedBy>
  <dcterms:modified xsi:type="dcterms:W3CDTF">2025-12-08T01:49:43Z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BA4803A817FC4750BA5B8355B80266D5_13</vt:lpwstr>
  </property>
  <property fmtid="{D5CDD505-2E9C-101B-9397-08002B2CF9AE}" pid="4" name="KSOTemplateDocerSaveRecord">
    <vt:lpwstr>eyJoZGlkIjoiZGZmMmE5M2M1ZGRlNWQxMjViMTExYmE3NWU2ODQzOWIiLCJ1c2VySWQiOiIxNTU5OTIyMDIwIn0=</vt:lpwstr>
  </property>
</Properties>
</file>